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85C" w:rsidRDefault="00ED385C" w:rsidP="0078508C">
      <w:pPr>
        <w:spacing w:before="240" w:after="240"/>
        <w:jc w:val="center"/>
      </w:pPr>
    </w:p>
    <w:p w:rsidR="00ED385C" w:rsidRDefault="00ED385C" w:rsidP="0078508C">
      <w:pPr>
        <w:spacing w:before="240" w:after="240"/>
        <w:jc w:val="center"/>
      </w:pPr>
    </w:p>
    <w:p w:rsidR="00ED385C" w:rsidRDefault="00ED385C" w:rsidP="0078508C">
      <w:pPr>
        <w:spacing w:before="240" w:after="240"/>
        <w:jc w:val="center"/>
      </w:pPr>
    </w:p>
    <w:p w:rsidR="00ED385C" w:rsidRDefault="00ED385C" w:rsidP="0078508C">
      <w:pPr>
        <w:spacing w:before="240" w:after="240"/>
        <w:jc w:val="center"/>
      </w:pPr>
    </w:p>
    <w:p w:rsidR="00ED385C" w:rsidRDefault="00ED385C" w:rsidP="0078508C">
      <w:pPr>
        <w:spacing w:before="240" w:after="240"/>
        <w:jc w:val="center"/>
      </w:pPr>
    </w:p>
    <w:p w:rsidR="00ED385C" w:rsidRDefault="00ED385C" w:rsidP="0078508C">
      <w:pPr>
        <w:spacing w:before="240" w:after="240"/>
        <w:jc w:val="center"/>
      </w:pPr>
    </w:p>
    <w:p w:rsidR="00ED385C" w:rsidRDefault="00ED385C" w:rsidP="0078508C">
      <w:pPr>
        <w:spacing w:before="240" w:after="240"/>
        <w:jc w:val="center"/>
      </w:pPr>
      <w:r>
        <w:t>Review of Articles</w:t>
      </w:r>
    </w:p>
    <w:p w:rsidR="00ED385C" w:rsidRDefault="00ED385C" w:rsidP="0078508C">
      <w:pPr>
        <w:spacing w:before="240" w:after="240"/>
        <w:jc w:val="center"/>
      </w:pPr>
      <w:r>
        <w:t>Student’s Name</w:t>
      </w:r>
    </w:p>
    <w:p w:rsidR="00ED385C" w:rsidRDefault="00ED385C" w:rsidP="0078508C">
      <w:pPr>
        <w:spacing w:before="240" w:after="240"/>
        <w:jc w:val="center"/>
      </w:pPr>
      <w:r>
        <w:t>Institution</w:t>
      </w:r>
    </w:p>
    <w:p w:rsidR="00ED385C" w:rsidRDefault="00ED385C" w:rsidP="0078508C">
      <w:pPr>
        <w:spacing w:before="240" w:after="240"/>
        <w:jc w:val="center"/>
      </w:pPr>
      <w:r>
        <w:t>Date</w:t>
      </w:r>
    </w:p>
    <w:p w:rsidR="00ED385C" w:rsidRDefault="00ED385C" w:rsidP="0078508C">
      <w:pPr>
        <w:spacing w:before="240" w:after="240"/>
      </w:pPr>
      <w:r>
        <w:br w:type="page"/>
      </w:r>
    </w:p>
    <w:p w:rsidR="00ED385C" w:rsidRDefault="00ED385C" w:rsidP="0078508C">
      <w:pPr>
        <w:spacing w:before="240" w:after="240"/>
        <w:jc w:val="center"/>
      </w:pPr>
      <w:r>
        <w:lastRenderedPageBreak/>
        <w:t>Review of Articles</w:t>
      </w:r>
    </w:p>
    <w:p w:rsidR="00ED385C" w:rsidRPr="0078508C" w:rsidRDefault="00ED385C" w:rsidP="0078508C">
      <w:pPr>
        <w:spacing w:before="240" w:after="240"/>
        <w:jc w:val="center"/>
        <w:rPr>
          <w:b/>
        </w:rPr>
      </w:pPr>
      <w:r w:rsidRPr="0078508C">
        <w:rPr>
          <w:b/>
        </w:rPr>
        <w:t xml:space="preserve">The first article: </w:t>
      </w:r>
      <w:hyperlink r:id="rId6" w:history="1">
        <w:r w:rsidRPr="0078508C">
          <w:rPr>
            <w:rStyle w:val="Hyperlink"/>
            <w:b/>
          </w:rPr>
          <w:t>https://www.lincolninst.edu/es/publications/articles/promoting-more-equitable-brownfield-redevelopment</w:t>
        </w:r>
      </w:hyperlink>
    </w:p>
    <w:p w:rsidR="00ED385C" w:rsidRPr="0078508C" w:rsidRDefault="00ED385C" w:rsidP="0078508C">
      <w:pPr>
        <w:spacing w:before="240" w:after="240"/>
        <w:ind w:firstLine="720"/>
        <w:jc w:val="center"/>
        <w:rPr>
          <w:b/>
        </w:rPr>
      </w:pPr>
      <w:r w:rsidRPr="0078508C">
        <w:rPr>
          <w:b/>
        </w:rPr>
        <w:t>Synopsis</w:t>
      </w:r>
    </w:p>
    <w:p w:rsidR="0078508C" w:rsidRDefault="0078508C" w:rsidP="0078508C">
      <w:pPr>
        <w:pStyle w:val="NormalWeb"/>
        <w:spacing w:before="240" w:beforeAutospacing="0" w:after="240" w:afterAutospacing="0" w:line="480" w:lineRule="auto"/>
        <w:ind w:firstLine="720"/>
        <w:jc w:val="both"/>
        <w:rPr>
          <w:color w:val="0E101A"/>
        </w:rPr>
      </w:pPr>
      <w:r>
        <w:rPr>
          <w:color w:val="0E101A"/>
        </w:rPr>
        <w:t>The article authored by Nancy Green Leigh seeks to demystify the various ways of promoting more equitable brownfield redevelopment. It champions the promise of rectifying brownfield deficiency and averting wider inequalities (Green, 2000). The actions proposed by Leigh in the article have a favorable implication as they will ensure that potential pollution sources and health hazards are removed from the neighborhood. Also, the remediated property value would be held until the surrounding area appreciates its value; thereby, the site can become redeveloped using the traditional market procedures.</w:t>
      </w:r>
    </w:p>
    <w:p w:rsidR="0078508C" w:rsidRPr="0078508C" w:rsidRDefault="0078508C" w:rsidP="0078508C">
      <w:pPr>
        <w:pStyle w:val="NormalWeb"/>
        <w:spacing w:before="240" w:beforeAutospacing="0" w:after="240" w:afterAutospacing="0" w:line="480" w:lineRule="auto"/>
        <w:ind w:firstLine="720"/>
        <w:jc w:val="center"/>
        <w:rPr>
          <w:b/>
          <w:color w:val="0E101A"/>
        </w:rPr>
      </w:pPr>
      <w:r w:rsidRPr="0078508C">
        <w:rPr>
          <w:b/>
          <w:color w:val="0E101A"/>
        </w:rPr>
        <w:t>Perspective</w:t>
      </w:r>
    </w:p>
    <w:p w:rsidR="0078508C" w:rsidRDefault="0078508C" w:rsidP="0078508C">
      <w:pPr>
        <w:pStyle w:val="NormalWeb"/>
        <w:spacing w:before="240" w:beforeAutospacing="0" w:after="240" w:afterAutospacing="0" w:line="480" w:lineRule="auto"/>
        <w:ind w:firstLine="720"/>
        <w:jc w:val="both"/>
        <w:rPr>
          <w:color w:val="0E101A"/>
        </w:rPr>
      </w:pPr>
      <w:r>
        <w:rPr>
          <w:color w:val="0E101A"/>
        </w:rPr>
        <w:t xml:space="preserve">The perspective of the article is to promote more equitable brownfield redevelopment using various approaches. Firstly, promising alternatives for low-value sites. By identifying profitable strategies for bolstering low-to-no market value brownfield sites' redevelopment prospects. Different possible ways of raising land banks can be specified for utilization in funding the remediation and the redevelopment of low-to-no market value sites. An example is depicted in community land trusts that are non-profit corporations (Green, 2000). Secondly, offering affordable remediation costs is likely to enhance the capacity for land banks to redevelop brownfields. Some land banks have the mission of eliminating blight and spearhead revitalization, and the processes are linked to brownfield reuse. However, limited budgets inhibit the willing land </w:t>
      </w:r>
      <w:r>
        <w:rPr>
          <w:color w:val="0E101A"/>
        </w:rPr>
        <w:lastRenderedPageBreak/>
        <w:t>banks from obtaining brownfields for purposes of remediation and redevelopment. Thirdly, the fear of legal liability associated with brownfields is a concern highly revered by land banks. Landowners may face accusations concerning the contamination of a property according to the Comprehensive Environmental Response, Compensation, and Liability Act (CERCLA). Hence this has proven to be a barrier for land banks to acquire a contaminated property that may attract legal liability. Fortunately, the federal and state governments have created programs seeking to eliminate the obstacle.</w:t>
      </w:r>
    </w:p>
    <w:p w:rsidR="0078508C" w:rsidRPr="0078508C" w:rsidRDefault="0078508C" w:rsidP="0078508C">
      <w:pPr>
        <w:pStyle w:val="NormalWeb"/>
        <w:spacing w:before="240" w:beforeAutospacing="0" w:after="240" w:afterAutospacing="0" w:line="480" w:lineRule="auto"/>
        <w:ind w:firstLine="720"/>
        <w:jc w:val="center"/>
        <w:rPr>
          <w:b/>
          <w:color w:val="0E101A"/>
        </w:rPr>
      </w:pPr>
      <w:r w:rsidRPr="0078508C">
        <w:rPr>
          <w:b/>
          <w:color w:val="0E101A"/>
        </w:rPr>
        <w:t>The second article: </w:t>
      </w:r>
      <w:hyperlink r:id="rId7" w:tgtFrame="_blank" w:history="1">
        <w:r w:rsidRPr="0078508C">
          <w:rPr>
            <w:rStyle w:val="Hyperlink"/>
            <w:b/>
            <w:color w:val="4A6EE0"/>
          </w:rPr>
          <w:t>https://www.ncbi.nlm.nih.gov/pmc/articles/PMC1447146/</w:t>
        </w:r>
      </w:hyperlink>
    </w:p>
    <w:p w:rsidR="0078508C" w:rsidRPr="0078508C" w:rsidRDefault="0078508C" w:rsidP="0078508C">
      <w:pPr>
        <w:pStyle w:val="NormalWeb"/>
        <w:spacing w:before="240" w:beforeAutospacing="0" w:after="240" w:afterAutospacing="0" w:line="480" w:lineRule="auto"/>
        <w:ind w:firstLine="720"/>
        <w:jc w:val="center"/>
        <w:rPr>
          <w:b/>
          <w:color w:val="0E101A"/>
        </w:rPr>
      </w:pPr>
      <w:r w:rsidRPr="0078508C">
        <w:rPr>
          <w:b/>
          <w:color w:val="0E101A"/>
        </w:rPr>
        <w:t>Synopsis</w:t>
      </w:r>
    </w:p>
    <w:p w:rsidR="0078508C" w:rsidRDefault="0078508C" w:rsidP="0078508C">
      <w:pPr>
        <w:pStyle w:val="NormalWeb"/>
        <w:spacing w:before="240" w:beforeAutospacing="0" w:after="240" w:afterAutospacing="0" w:line="480" w:lineRule="auto"/>
        <w:ind w:firstLine="720"/>
        <w:jc w:val="both"/>
        <w:rPr>
          <w:color w:val="0E101A"/>
        </w:rPr>
      </w:pPr>
      <w:r>
        <w:rPr>
          <w:color w:val="0E101A"/>
        </w:rPr>
        <w:t>The article by Michael Greenberg examines the various arguments concerning the building of houses on former brownfield sites. The author meticulously outlays the views for building houses on brownfields. For instance, one reason for building houses on brownfields is to improve the neighborhood's quality and environment (Greenberg, 2002). On the other hand, he underscores the arguments against building houses on the former brownfields. Greenberg attests that grave concerns mount the reliability of the protective measures and cleanup of brownfields. Other considerations include improperly built houses and infrequent monitoring. Furthermore, the author highlights that various precautionary steps must be regarded should public health advocates propose building houses on brownfields. For instance, neighborhood leaders ought to be involved during the process of planning.</w:t>
      </w:r>
    </w:p>
    <w:p w:rsidR="0078508C" w:rsidRPr="0078508C" w:rsidRDefault="0078508C" w:rsidP="0078508C">
      <w:pPr>
        <w:pStyle w:val="NormalWeb"/>
        <w:spacing w:before="240" w:beforeAutospacing="0" w:after="240" w:afterAutospacing="0" w:line="480" w:lineRule="auto"/>
        <w:ind w:firstLine="720"/>
        <w:jc w:val="center"/>
        <w:rPr>
          <w:b/>
          <w:color w:val="0E101A"/>
        </w:rPr>
      </w:pPr>
      <w:r w:rsidRPr="0078508C">
        <w:rPr>
          <w:b/>
          <w:color w:val="0E101A"/>
        </w:rPr>
        <w:t>Perspective</w:t>
      </w:r>
    </w:p>
    <w:p w:rsidR="0078508C" w:rsidRDefault="0078508C" w:rsidP="0078508C">
      <w:pPr>
        <w:pStyle w:val="NormalWeb"/>
        <w:spacing w:before="240" w:beforeAutospacing="0" w:after="240" w:afterAutospacing="0" w:line="480" w:lineRule="auto"/>
        <w:ind w:firstLine="720"/>
        <w:jc w:val="both"/>
        <w:rPr>
          <w:color w:val="0E101A"/>
        </w:rPr>
      </w:pPr>
      <w:r>
        <w:rPr>
          <w:color w:val="0E101A"/>
        </w:rPr>
        <w:lastRenderedPageBreak/>
        <w:t>Michael Greenberg's article has the perspective of addressing the need for ensuring that precautionary measures are considered when building houses on brownfields. From his arguments, he highlights various ideas for and against building houses on brownfields (Greenberg, 2002). He states that brownfields comprise readily available lands that can be used to create new homes and schools on the building's view. Contrarily, his argument against the building is that developers may try hiding high site contamination levels and building houses on brownfield. And this may have a hazardous effect on ones' health. Moreover, Michael Greenberg explains that others gave concerns such as difficult enforcement of deed restrictions and infrequent monitoring that may compromise erecting houses' safety conditions on brownfields.</w:t>
      </w:r>
    </w:p>
    <w:p w:rsidR="0078508C" w:rsidRDefault="0078508C" w:rsidP="0078508C">
      <w:pPr>
        <w:pStyle w:val="NormalWeb"/>
        <w:spacing w:before="240" w:beforeAutospacing="0" w:after="240" w:afterAutospacing="0" w:line="480" w:lineRule="auto"/>
        <w:ind w:firstLine="720"/>
        <w:jc w:val="both"/>
        <w:rPr>
          <w:color w:val="0E101A"/>
        </w:rPr>
      </w:pPr>
      <w:r>
        <w:rPr>
          <w:color w:val="0E101A"/>
        </w:rPr>
        <w:t>However, the article states that should public health advocates support houses' erection on cleaned-up brownfield sites, some considerations must be taken into place. Foremost, during the planning process, neighborhood leaders and residents have to be involved. Secondly, the local public health officials need to be engaged during the reclamation process of the brownfield.</w:t>
      </w:r>
    </w:p>
    <w:p w:rsidR="0078508C" w:rsidRPr="0078508C" w:rsidRDefault="0078508C" w:rsidP="0078508C">
      <w:pPr>
        <w:pStyle w:val="NormalWeb"/>
        <w:spacing w:before="240" w:beforeAutospacing="0" w:after="240" w:afterAutospacing="0" w:line="480" w:lineRule="auto"/>
        <w:ind w:firstLine="720"/>
        <w:jc w:val="center"/>
        <w:rPr>
          <w:b/>
          <w:color w:val="0E101A"/>
        </w:rPr>
      </w:pPr>
      <w:r w:rsidRPr="0078508C">
        <w:rPr>
          <w:b/>
          <w:color w:val="0E101A"/>
        </w:rPr>
        <w:t>My Comments</w:t>
      </w:r>
    </w:p>
    <w:p w:rsidR="0078508C" w:rsidRDefault="0078508C" w:rsidP="0078508C">
      <w:pPr>
        <w:pStyle w:val="NormalWeb"/>
        <w:spacing w:before="240" w:beforeAutospacing="0" w:after="240" w:afterAutospacing="0" w:line="480" w:lineRule="auto"/>
        <w:ind w:firstLine="720"/>
        <w:jc w:val="both"/>
        <w:rPr>
          <w:color w:val="0E101A"/>
        </w:rPr>
      </w:pPr>
      <w:r>
        <w:rPr>
          <w:color w:val="0E101A"/>
        </w:rPr>
        <w:t xml:space="preserve">Both articles offer noteworthy recommendations concerning the building of houses on brownfields. The first article delineates the various actions that can remove potential pollution sources and hazards within the neighborhood. I agree with the article's perspective because it seeks to highlight the promising approaches for enhancing the redevelopment prospects of low-to-market value brownfield sites. The second article proposes the necessary considerations should houses be built on brownfields. Michael Greenberg proposes that the state government consider providing a higher return on brownfield investment for elected officials, financiers, and developers to redevelop brownfields. I agree with the opinion as it will ensure that more people become </w:t>
      </w:r>
      <w:r>
        <w:rPr>
          <w:color w:val="0E101A"/>
        </w:rPr>
        <w:lastRenderedPageBreak/>
        <w:t>interested and willing to engage in brownfield redevelopment when a higher return on brownfield investment is imposed.</w:t>
      </w:r>
    </w:p>
    <w:p w:rsidR="00A40B8A" w:rsidRDefault="00A40B8A" w:rsidP="0078508C">
      <w:pPr>
        <w:spacing w:before="240" w:after="240"/>
      </w:pPr>
      <w:bookmarkStart w:id="0" w:name="_GoBack"/>
      <w:r>
        <w:br w:type="page"/>
      </w:r>
    </w:p>
    <w:bookmarkEnd w:id="0"/>
    <w:p w:rsidR="00ED385C" w:rsidRPr="00083381" w:rsidRDefault="00ED385C" w:rsidP="0078508C">
      <w:pPr>
        <w:spacing w:before="240" w:after="240"/>
        <w:ind w:firstLine="720"/>
        <w:jc w:val="center"/>
      </w:pPr>
      <w:r>
        <w:lastRenderedPageBreak/>
        <w:t>References</w:t>
      </w:r>
    </w:p>
    <w:p w:rsidR="00ED385C" w:rsidRPr="009E003B" w:rsidRDefault="00ED385C" w:rsidP="0078508C">
      <w:pPr>
        <w:spacing w:before="240" w:after="240"/>
        <w:ind w:left="720" w:hanging="720"/>
        <w:rPr>
          <w:rFonts w:eastAsia="Times New Roman" w:cs="Times New Roman"/>
          <w:szCs w:val="24"/>
        </w:rPr>
      </w:pPr>
      <w:r w:rsidRPr="009E003B">
        <w:rPr>
          <w:rFonts w:eastAsia="Times New Roman" w:cs="Times New Roman"/>
          <w:szCs w:val="24"/>
        </w:rPr>
        <w:t xml:space="preserve">Green Leigh, N. (2000). Promoting more equitable brownfield redevelopment. </w:t>
      </w:r>
      <w:r w:rsidRPr="009E003B">
        <w:rPr>
          <w:rFonts w:eastAsia="Times New Roman" w:cs="Times New Roman"/>
          <w:i/>
          <w:iCs/>
          <w:szCs w:val="24"/>
        </w:rPr>
        <w:t>Land Lines</w:t>
      </w:r>
      <w:r w:rsidRPr="009E003B">
        <w:rPr>
          <w:rFonts w:eastAsia="Times New Roman" w:cs="Times New Roman"/>
          <w:szCs w:val="24"/>
        </w:rPr>
        <w:t xml:space="preserve">, </w:t>
      </w:r>
      <w:r w:rsidRPr="009E003B">
        <w:rPr>
          <w:rFonts w:eastAsia="Times New Roman" w:cs="Times New Roman"/>
          <w:i/>
          <w:iCs/>
          <w:szCs w:val="24"/>
        </w:rPr>
        <w:t>12</w:t>
      </w:r>
      <w:r>
        <w:rPr>
          <w:rFonts w:eastAsia="Times New Roman" w:cs="Times New Roman"/>
          <w:szCs w:val="24"/>
        </w:rPr>
        <w:t>, 1-3</w:t>
      </w:r>
      <w:r>
        <w:rPr>
          <w:rFonts w:eastAsia="Times New Roman" w:cs="Times New Roman"/>
          <w:bCs/>
          <w:kern w:val="36"/>
          <w:szCs w:val="24"/>
        </w:rPr>
        <w:t xml:space="preserve">. Retrieved from </w:t>
      </w:r>
      <w:hyperlink r:id="rId8" w:history="1">
        <w:r w:rsidRPr="00852DD2">
          <w:rPr>
            <w:rStyle w:val="Hyperlink"/>
            <w:rFonts w:eastAsia="Times New Roman" w:cs="Times New Roman"/>
            <w:bCs/>
            <w:kern w:val="36"/>
            <w:szCs w:val="24"/>
          </w:rPr>
          <w:t>https://www.lincolninst.edu/es/publications/articles/promoting-more-equitable-brownfield-redevelopment</w:t>
        </w:r>
      </w:hyperlink>
    </w:p>
    <w:p w:rsidR="00ED385C" w:rsidRPr="009E003B" w:rsidRDefault="00ED385C" w:rsidP="0078508C">
      <w:pPr>
        <w:spacing w:before="240" w:after="240"/>
        <w:ind w:left="720" w:hanging="720"/>
        <w:rPr>
          <w:rFonts w:eastAsia="Times New Roman" w:cs="Times New Roman"/>
          <w:szCs w:val="24"/>
        </w:rPr>
      </w:pPr>
      <w:r w:rsidRPr="0010499F">
        <w:rPr>
          <w:rFonts w:eastAsia="Times New Roman" w:cs="Times New Roman"/>
          <w:szCs w:val="24"/>
        </w:rPr>
        <w:t>Greenberg, M. (2002). Should housing be built on fo</w:t>
      </w:r>
      <w:r>
        <w:rPr>
          <w:rFonts w:eastAsia="Times New Roman" w:cs="Times New Roman"/>
          <w:szCs w:val="24"/>
        </w:rPr>
        <w:t xml:space="preserve">rmer brownfield sites? </w:t>
      </w:r>
      <w:r>
        <w:rPr>
          <w:rFonts w:eastAsia="Times New Roman" w:cs="Times New Roman"/>
          <w:bCs/>
          <w:kern w:val="36"/>
          <w:szCs w:val="24"/>
        </w:rPr>
        <w:t xml:space="preserve">Retrieved from </w:t>
      </w:r>
      <w:hyperlink r:id="rId9" w:history="1">
        <w:r w:rsidRPr="00852DD2">
          <w:rPr>
            <w:rStyle w:val="Hyperlink"/>
            <w:rFonts w:eastAsia="Times New Roman" w:cs="Times New Roman"/>
            <w:bCs/>
            <w:kern w:val="36"/>
            <w:szCs w:val="24"/>
          </w:rPr>
          <w:t>https://www.ncbi.nlm.nih.gov/pmc/articles/PMC1447146/</w:t>
        </w:r>
      </w:hyperlink>
      <w:r>
        <w:rPr>
          <w:rFonts w:eastAsia="Times New Roman" w:cs="Times New Roman"/>
          <w:bCs/>
          <w:kern w:val="36"/>
          <w:szCs w:val="24"/>
        </w:rPr>
        <w:t xml:space="preserve"> </w:t>
      </w:r>
    </w:p>
    <w:p w:rsidR="00ED385C" w:rsidRDefault="00ED385C" w:rsidP="0078508C">
      <w:pPr>
        <w:spacing w:before="240" w:after="240"/>
        <w:jc w:val="center"/>
      </w:pPr>
    </w:p>
    <w:p w:rsidR="00ED385C" w:rsidRPr="009E003B" w:rsidRDefault="00ED385C" w:rsidP="0078508C">
      <w:pPr>
        <w:spacing w:before="240" w:after="240"/>
        <w:jc w:val="center"/>
      </w:pPr>
    </w:p>
    <w:sectPr w:rsidR="00ED385C" w:rsidRPr="009E003B" w:rsidSect="00ED385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10B" w:rsidRDefault="0082010B" w:rsidP="00ED385C">
      <w:pPr>
        <w:spacing w:after="0" w:line="240" w:lineRule="auto"/>
      </w:pPr>
      <w:r>
        <w:separator/>
      </w:r>
    </w:p>
  </w:endnote>
  <w:endnote w:type="continuationSeparator" w:id="0">
    <w:p w:rsidR="0082010B" w:rsidRDefault="0082010B" w:rsidP="00ED3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10B" w:rsidRDefault="0082010B" w:rsidP="00ED385C">
      <w:pPr>
        <w:spacing w:after="0" w:line="240" w:lineRule="auto"/>
      </w:pPr>
      <w:r>
        <w:separator/>
      </w:r>
    </w:p>
  </w:footnote>
  <w:footnote w:type="continuationSeparator" w:id="0">
    <w:p w:rsidR="0082010B" w:rsidRDefault="0082010B" w:rsidP="00ED3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912539"/>
      <w:docPartObj>
        <w:docPartGallery w:val="Page Numbers (Top of Page)"/>
        <w:docPartUnique/>
      </w:docPartObj>
    </w:sdtPr>
    <w:sdtEndPr>
      <w:rPr>
        <w:noProof/>
      </w:rPr>
    </w:sdtEndPr>
    <w:sdtContent>
      <w:p w:rsidR="00ED385C" w:rsidRDefault="00ED385C">
        <w:pPr>
          <w:pStyle w:val="Header"/>
          <w:jc w:val="right"/>
        </w:pPr>
        <w:r>
          <w:t>REVIEW OF ARTICLES</w:t>
        </w:r>
        <w:r>
          <w:tab/>
        </w:r>
        <w:r>
          <w:tab/>
        </w:r>
        <w:r>
          <w:fldChar w:fldCharType="begin"/>
        </w:r>
        <w:r>
          <w:instrText xml:space="preserve"> PAGE   \* MERGEFORMAT </w:instrText>
        </w:r>
        <w:r>
          <w:fldChar w:fldCharType="separate"/>
        </w:r>
        <w:r w:rsidR="0078508C">
          <w:rPr>
            <w:noProof/>
          </w:rPr>
          <w:t>6</w:t>
        </w:r>
        <w:r>
          <w:rPr>
            <w:noProof/>
          </w:rPr>
          <w:fldChar w:fldCharType="end"/>
        </w:r>
      </w:p>
    </w:sdtContent>
  </w:sdt>
  <w:p w:rsidR="00ED385C" w:rsidRDefault="00ED385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85C" w:rsidRDefault="00ED385C">
    <w:pPr>
      <w:pStyle w:val="Header"/>
    </w:pPr>
    <w:r>
      <w:t>Running Head: REVIEW OF ARTICLES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D58"/>
    <w:rsid w:val="000813CF"/>
    <w:rsid w:val="00083381"/>
    <w:rsid w:val="000D0A30"/>
    <w:rsid w:val="0010499F"/>
    <w:rsid w:val="002A3D58"/>
    <w:rsid w:val="003526F0"/>
    <w:rsid w:val="00383BA0"/>
    <w:rsid w:val="00443CBA"/>
    <w:rsid w:val="004A1261"/>
    <w:rsid w:val="00582D56"/>
    <w:rsid w:val="00655132"/>
    <w:rsid w:val="00762826"/>
    <w:rsid w:val="0078508C"/>
    <w:rsid w:val="007B5CBE"/>
    <w:rsid w:val="00812965"/>
    <w:rsid w:val="0082010B"/>
    <w:rsid w:val="0093673D"/>
    <w:rsid w:val="00942084"/>
    <w:rsid w:val="009652A5"/>
    <w:rsid w:val="009B249C"/>
    <w:rsid w:val="009D13A9"/>
    <w:rsid w:val="009E003B"/>
    <w:rsid w:val="009E3CFD"/>
    <w:rsid w:val="00A030B3"/>
    <w:rsid w:val="00A40B8A"/>
    <w:rsid w:val="00A93389"/>
    <w:rsid w:val="00B35F5D"/>
    <w:rsid w:val="00B93F45"/>
    <w:rsid w:val="00C80B39"/>
    <w:rsid w:val="00D573A5"/>
    <w:rsid w:val="00DA2B5A"/>
    <w:rsid w:val="00DC6C65"/>
    <w:rsid w:val="00E0523E"/>
    <w:rsid w:val="00ED385C"/>
    <w:rsid w:val="00EF4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26810C-CCF7-46E3-8DF9-586FDA1ED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261"/>
    <w:pPr>
      <w:spacing w:after="20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0B39"/>
    <w:rPr>
      <w:color w:val="0563C1" w:themeColor="hyperlink"/>
      <w:u w:val="single"/>
    </w:rPr>
  </w:style>
  <w:style w:type="paragraph" w:styleId="Header">
    <w:name w:val="header"/>
    <w:basedOn w:val="Normal"/>
    <w:link w:val="HeaderChar"/>
    <w:uiPriority w:val="99"/>
    <w:unhideWhenUsed/>
    <w:rsid w:val="00ED3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85C"/>
    <w:rPr>
      <w:rFonts w:ascii="Times New Roman" w:hAnsi="Times New Roman"/>
      <w:sz w:val="24"/>
    </w:rPr>
  </w:style>
  <w:style w:type="paragraph" w:styleId="Footer">
    <w:name w:val="footer"/>
    <w:basedOn w:val="Normal"/>
    <w:link w:val="FooterChar"/>
    <w:uiPriority w:val="99"/>
    <w:unhideWhenUsed/>
    <w:rsid w:val="00ED3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85C"/>
    <w:rPr>
      <w:rFonts w:ascii="Times New Roman" w:hAnsi="Times New Roman"/>
      <w:sz w:val="24"/>
    </w:rPr>
  </w:style>
  <w:style w:type="paragraph" w:styleId="NormalWeb">
    <w:name w:val="Normal (Web)"/>
    <w:basedOn w:val="Normal"/>
    <w:uiPriority w:val="99"/>
    <w:semiHidden/>
    <w:unhideWhenUsed/>
    <w:rsid w:val="0078508C"/>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315183">
      <w:bodyDiv w:val="1"/>
      <w:marLeft w:val="0"/>
      <w:marRight w:val="0"/>
      <w:marTop w:val="0"/>
      <w:marBottom w:val="0"/>
      <w:divBdr>
        <w:top w:val="none" w:sz="0" w:space="0" w:color="auto"/>
        <w:left w:val="none" w:sz="0" w:space="0" w:color="auto"/>
        <w:bottom w:val="none" w:sz="0" w:space="0" w:color="auto"/>
        <w:right w:val="none" w:sz="0" w:space="0" w:color="auto"/>
      </w:divBdr>
    </w:div>
    <w:div w:id="1125345383">
      <w:bodyDiv w:val="1"/>
      <w:marLeft w:val="0"/>
      <w:marRight w:val="0"/>
      <w:marTop w:val="0"/>
      <w:marBottom w:val="0"/>
      <w:divBdr>
        <w:top w:val="none" w:sz="0" w:space="0" w:color="auto"/>
        <w:left w:val="none" w:sz="0" w:space="0" w:color="auto"/>
        <w:bottom w:val="none" w:sz="0" w:space="0" w:color="auto"/>
        <w:right w:val="none" w:sz="0" w:space="0" w:color="auto"/>
      </w:divBdr>
      <w:divsChild>
        <w:div w:id="1224027341">
          <w:marLeft w:val="0"/>
          <w:marRight w:val="0"/>
          <w:marTop w:val="0"/>
          <w:marBottom w:val="0"/>
          <w:divBdr>
            <w:top w:val="none" w:sz="0" w:space="0" w:color="auto"/>
            <w:left w:val="none" w:sz="0" w:space="0" w:color="auto"/>
            <w:bottom w:val="none" w:sz="0" w:space="0" w:color="auto"/>
            <w:right w:val="none" w:sz="0" w:space="0" w:color="auto"/>
          </w:divBdr>
        </w:div>
      </w:divsChild>
    </w:div>
    <w:div w:id="1177621289">
      <w:bodyDiv w:val="1"/>
      <w:marLeft w:val="0"/>
      <w:marRight w:val="0"/>
      <w:marTop w:val="0"/>
      <w:marBottom w:val="0"/>
      <w:divBdr>
        <w:top w:val="none" w:sz="0" w:space="0" w:color="auto"/>
        <w:left w:val="none" w:sz="0" w:space="0" w:color="auto"/>
        <w:bottom w:val="none" w:sz="0" w:space="0" w:color="auto"/>
        <w:right w:val="none" w:sz="0" w:space="0" w:color="auto"/>
      </w:divBdr>
    </w:div>
    <w:div w:id="1392465003">
      <w:bodyDiv w:val="1"/>
      <w:marLeft w:val="0"/>
      <w:marRight w:val="0"/>
      <w:marTop w:val="0"/>
      <w:marBottom w:val="0"/>
      <w:divBdr>
        <w:top w:val="none" w:sz="0" w:space="0" w:color="auto"/>
        <w:left w:val="none" w:sz="0" w:space="0" w:color="auto"/>
        <w:bottom w:val="none" w:sz="0" w:space="0" w:color="auto"/>
        <w:right w:val="none" w:sz="0" w:space="0" w:color="auto"/>
      </w:divBdr>
    </w:div>
    <w:div w:id="1432748114">
      <w:bodyDiv w:val="1"/>
      <w:marLeft w:val="0"/>
      <w:marRight w:val="0"/>
      <w:marTop w:val="0"/>
      <w:marBottom w:val="0"/>
      <w:divBdr>
        <w:top w:val="none" w:sz="0" w:space="0" w:color="auto"/>
        <w:left w:val="none" w:sz="0" w:space="0" w:color="auto"/>
        <w:bottom w:val="none" w:sz="0" w:space="0" w:color="auto"/>
        <w:right w:val="none" w:sz="0" w:space="0" w:color="auto"/>
      </w:divBdr>
      <w:divsChild>
        <w:div w:id="2137140756">
          <w:marLeft w:val="0"/>
          <w:marRight w:val="0"/>
          <w:marTop w:val="0"/>
          <w:marBottom w:val="0"/>
          <w:divBdr>
            <w:top w:val="none" w:sz="0" w:space="0" w:color="auto"/>
            <w:left w:val="none" w:sz="0" w:space="0" w:color="auto"/>
            <w:bottom w:val="none" w:sz="0" w:space="0" w:color="auto"/>
            <w:right w:val="none" w:sz="0" w:space="0" w:color="auto"/>
          </w:divBdr>
        </w:div>
      </w:divsChild>
    </w:div>
    <w:div w:id="175397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colninst.edu/es/publications/articles/promoting-more-equitable-brownfield-redevelopmen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cbi.nlm.nih.gov/pmc/articles/PMC144714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colninst.edu/es/publications/articles/promoting-more-equitable-brownfield-redevelopment"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cbi.nlm.nih.gov/pmc/articles/PMC14471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2020-10-07T02:48:00Z</dcterms:created>
  <dcterms:modified xsi:type="dcterms:W3CDTF">2020-10-07T02:48:00Z</dcterms:modified>
</cp:coreProperties>
</file>